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461F" w:rsidRPr="0044598A" w:rsidRDefault="00002D43">
      <w:pPr>
        <w:rPr>
          <w:b/>
          <w:sz w:val="28"/>
          <w:szCs w:val="28"/>
        </w:rPr>
      </w:pPr>
      <w:bookmarkStart w:id="0" w:name="_GoBack"/>
      <w:bookmarkEnd w:id="0"/>
      <w:r w:rsidRPr="0044598A">
        <w:rPr>
          <w:b/>
          <w:sz w:val="28"/>
          <w:szCs w:val="28"/>
        </w:rPr>
        <w:t>Befund</w:t>
      </w:r>
    </w:p>
    <w:p w:rsidR="00002D43" w:rsidRDefault="00002D43"/>
    <w:p w:rsidR="00002D43" w:rsidRDefault="00002D43">
      <w:r>
        <w:t xml:space="preserve">Bei den vorliegenden Wasserproben handelt es sich um die Eigenwasservorkommen der Gemeinde Hilzingen. Die Proben wurden von den Hochbehältern Duchtlingen (E.-Nr. 335035/02/01), Binningen HB HZ (E.-Nr. 335035/05/03), Binningen HB NZ (E.-Nr. 335035/05/02), Schlatt a. R. (E.-Nr. 335035/03/01), Homboll (E. –Nr. 335035/01/01) entnommen. </w:t>
      </w:r>
    </w:p>
    <w:p w:rsidR="00002D43" w:rsidRDefault="00002D43"/>
    <w:p w:rsidR="00002D43" w:rsidRDefault="00002D43">
      <w:r>
        <w:t>Im Aussehen waren die Wässer alle klar und farblos sowie im Geruch neutral.</w:t>
      </w:r>
    </w:p>
    <w:p w:rsidR="00002D43" w:rsidRDefault="00002D43"/>
    <w:p w:rsidR="00002D43" w:rsidRDefault="00002D43">
      <w:r>
        <w:t>Mit ihren ermit</w:t>
      </w:r>
      <w:r w:rsidR="0044598A">
        <w:t>telten Gesamthärten sind die Wä</w:t>
      </w:r>
      <w:r>
        <w:t>sser gemäß „Wasch- und Reinigungsmittelgesetz“ vom 05.03.1987 i. d. F. vom 01.02.2007 folge</w:t>
      </w:r>
      <w:r w:rsidR="004E78CF">
        <w:t>nden Härtebereichen zuzuordnen:</w:t>
      </w:r>
    </w:p>
    <w:p w:rsidR="00002D43" w:rsidRDefault="00002D43"/>
    <w:tbl>
      <w:tblPr>
        <w:tblStyle w:val="Tabellenraster"/>
        <w:tblW w:w="0" w:type="auto"/>
        <w:tblLook w:val="04A0" w:firstRow="1" w:lastRow="0" w:firstColumn="1" w:lastColumn="0" w:noHBand="0" w:noVBand="1"/>
      </w:tblPr>
      <w:tblGrid>
        <w:gridCol w:w="2303"/>
        <w:gridCol w:w="2303"/>
        <w:gridCol w:w="2303"/>
        <w:gridCol w:w="2303"/>
      </w:tblGrid>
      <w:tr w:rsidR="00002D43" w:rsidTr="00002D43">
        <w:tc>
          <w:tcPr>
            <w:tcW w:w="2303" w:type="dxa"/>
          </w:tcPr>
          <w:p w:rsidR="00002D43" w:rsidRDefault="00002D43" w:rsidP="00002D43">
            <w:pPr>
              <w:jc w:val="center"/>
            </w:pPr>
            <w:r>
              <w:t>Entnahmestelle</w:t>
            </w:r>
          </w:p>
        </w:tc>
        <w:tc>
          <w:tcPr>
            <w:tcW w:w="2303" w:type="dxa"/>
          </w:tcPr>
          <w:p w:rsidR="00002D43" w:rsidRDefault="00002D43" w:rsidP="00002D43">
            <w:pPr>
              <w:jc w:val="center"/>
            </w:pPr>
            <w:r>
              <w:t>Gesamthärte</w:t>
            </w:r>
          </w:p>
          <w:p w:rsidR="00002D43" w:rsidRDefault="00002D43" w:rsidP="00002D43">
            <w:pPr>
              <w:jc w:val="center"/>
            </w:pPr>
            <w:r>
              <w:t>mmol/l (°dH)</w:t>
            </w:r>
          </w:p>
        </w:tc>
        <w:tc>
          <w:tcPr>
            <w:tcW w:w="2303" w:type="dxa"/>
          </w:tcPr>
          <w:p w:rsidR="00002D43" w:rsidRDefault="00002D43" w:rsidP="00002D43">
            <w:pPr>
              <w:jc w:val="center"/>
            </w:pPr>
            <w:r>
              <w:t>Karbonathärte</w:t>
            </w:r>
          </w:p>
          <w:p w:rsidR="00002D43" w:rsidRDefault="00002D43" w:rsidP="00002D43">
            <w:pPr>
              <w:jc w:val="center"/>
            </w:pPr>
            <w:r>
              <w:t>°dH</w:t>
            </w:r>
          </w:p>
        </w:tc>
        <w:tc>
          <w:tcPr>
            <w:tcW w:w="2303" w:type="dxa"/>
          </w:tcPr>
          <w:p w:rsidR="00002D43" w:rsidRDefault="00002D43" w:rsidP="00002D43">
            <w:pPr>
              <w:jc w:val="center"/>
            </w:pPr>
            <w:r>
              <w:t>Härtebereich</w:t>
            </w:r>
          </w:p>
        </w:tc>
      </w:tr>
      <w:tr w:rsidR="00002D43" w:rsidTr="00002D43">
        <w:tc>
          <w:tcPr>
            <w:tcW w:w="2303" w:type="dxa"/>
          </w:tcPr>
          <w:p w:rsidR="00002D43" w:rsidRDefault="00002D43" w:rsidP="004E78CF">
            <w:pPr>
              <w:jc w:val="center"/>
            </w:pPr>
            <w:r>
              <w:t>HB Duchtlingen</w:t>
            </w:r>
          </w:p>
          <w:p w:rsidR="00002D43" w:rsidRDefault="00002D43" w:rsidP="004E78CF">
            <w:pPr>
              <w:jc w:val="center"/>
            </w:pPr>
            <w:r>
              <w:t>HB Binningen / HZ</w:t>
            </w:r>
          </w:p>
          <w:p w:rsidR="00002D43" w:rsidRDefault="00002D43" w:rsidP="004E78CF">
            <w:pPr>
              <w:jc w:val="center"/>
            </w:pPr>
            <w:r>
              <w:t>HB Binningen / NZ</w:t>
            </w:r>
          </w:p>
          <w:p w:rsidR="00002D43" w:rsidRDefault="00002D43" w:rsidP="004E78CF">
            <w:pPr>
              <w:jc w:val="center"/>
            </w:pPr>
            <w:r>
              <w:t>HB Schlatt</w:t>
            </w:r>
          </w:p>
          <w:p w:rsidR="00002D43" w:rsidRDefault="00002D43" w:rsidP="004E78CF">
            <w:pPr>
              <w:jc w:val="center"/>
            </w:pPr>
            <w:r>
              <w:t>HB Homboll</w:t>
            </w:r>
          </w:p>
          <w:p w:rsidR="0044598A" w:rsidRDefault="0044598A" w:rsidP="004E78CF">
            <w:pPr>
              <w:jc w:val="center"/>
            </w:pPr>
          </w:p>
        </w:tc>
        <w:tc>
          <w:tcPr>
            <w:tcW w:w="2303" w:type="dxa"/>
          </w:tcPr>
          <w:p w:rsidR="00002D43" w:rsidRDefault="00002D43" w:rsidP="004E78CF">
            <w:pPr>
              <w:jc w:val="center"/>
            </w:pPr>
            <w:r>
              <w:t>3,9 (22,1)</w:t>
            </w:r>
          </w:p>
          <w:p w:rsidR="00002D43" w:rsidRDefault="00002D43" w:rsidP="004E78CF">
            <w:pPr>
              <w:jc w:val="center"/>
            </w:pPr>
            <w:r>
              <w:t>3,8 (21,4)</w:t>
            </w:r>
          </w:p>
          <w:p w:rsidR="00002D43" w:rsidRDefault="00CA1D8E" w:rsidP="004E78CF">
            <w:pPr>
              <w:jc w:val="center"/>
            </w:pPr>
            <w:r>
              <w:t>4,04 (22,7</w:t>
            </w:r>
            <w:r w:rsidR="00002D43">
              <w:t>)</w:t>
            </w:r>
          </w:p>
          <w:p w:rsidR="00002D43" w:rsidRDefault="00CA1D8E" w:rsidP="004E78CF">
            <w:pPr>
              <w:jc w:val="center"/>
            </w:pPr>
            <w:r>
              <w:t>3,44</w:t>
            </w:r>
            <w:r w:rsidR="004E78CF">
              <w:t xml:space="preserve"> </w:t>
            </w:r>
            <w:r>
              <w:t>(19,3</w:t>
            </w:r>
            <w:r w:rsidR="004E78CF">
              <w:t>)</w:t>
            </w:r>
          </w:p>
          <w:p w:rsidR="004E78CF" w:rsidRDefault="004E78CF" w:rsidP="004E78CF">
            <w:pPr>
              <w:jc w:val="center"/>
            </w:pPr>
            <w:r>
              <w:t>4,1 (23,1)</w:t>
            </w:r>
          </w:p>
          <w:p w:rsidR="00002D43" w:rsidRDefault="00002D43" w:rsidP="004E78CF">
            <w:pPr>
              <w:jc w:val="center"/>
            </w:pPr>
          </w:p>
        </w:tc>
        <w:tc>
          <w:tcPr>
            <w:tcW w:w="2303" w:type="dxa"/>
          </w:tcPr>
          <w:p w:rsidR="004E78CF" w:rsidRDefault="004E78CF" w:rsidP="004E78CF">
            <w:pPr>
              <w:jc w:val="center"/>
            </w:pPr>
            <w:r>
              <w:t>18,6</w:t>
            </w:r>
          </w:p>
          <w:p w:rsidR="004E78CF" w:rsidRDefault="004E78CF" w:rsidP="004E78CF">
            <w:pPr>
              <w:jc w:val="center"/>
            </w:pPr>
            <w:r>
              <w:t>17,9</w:t>
            </w:r>
          </w:p>
          <w:p w:rsidR="004E78CF" w:rsidRDefault="00CA1D8E" w:rsidP="004E78CF">
            <w:pPr>
              <w:jc w:val="center"/>
            </w:pPr>
            <w:r>
              <w:t>20,0</w:t>
            </w:r>
          </w:p>
          <w:p w:rsidR="004E78CF" w:rsidRDefault="00CA1D8E" w:rsidP="004E78CF">
            <w:pPr>
              <w:jc w:val="center"/>
            </w:pPr>
            <w:r>
              <w:t>17,5</w:t>
            </w:r>
          </w:p>
          <w:p w:rsidR="004E78CF" w:rsidRDefault="004E78CF" w:rsidP="004E78CF">
            <w:pPr>
              <w:jc w:val="center"/>
            </w:pPr>
            <w:r>
              <w:t>18,9</w:t>
            </w:r>
          </w:p>
          <w:p w:rsidR="0044598A" w:rsidRDefault="0044598A" w:rsidP="004E78CF">
            <w:pPr>
              <w:jc w:val="center"/>
            </w:pPr>
          </w:p>
        </w:tc>
        <w:tc>
          <w:tcPr>
            <w:tcW w:w="2303" w:type="dxa"/>
          </w:tcPr>
          <w:p w:rsidR="00002D43" w:rsidRDefault="004E78CF" w:rsidP="004E78CF">
            <w:pPr>
              <w:jc w:val="center"/>
            </w:pPr>
            <w:r>
              <w:t>h</w:t>
            </w:r>
            <w:r w:rsidR="00002D43">
              <w:t>art</w:t>
            </w:r>
          </w:p>
          <w:p w:rsidR="004E78CF" w:rsidRDefault="004E78CF" w:rsidP="004E78CF">
            <w:pPr>
              <w:jc w:val="center"/>
            </w:pPr>
            <w:r>
              <w:t>hart</w:t>
            </w:r>
          </w:p>
          <w:p w:rsidR="004E78CF" w:rsidRDefault="004E78CF" w:rsidP="004E78CF">
            <w:pPr>
              <w:jc w:val="center"/>
            </w:pPr>
            <w:r>
              <w:t>hart</w:t>
            </w:r>
          </w:p>
          <w:p w:rsidR="004E78CF" w:rsidRDefault="004E78CF" w:rsidP="004E78CF">
            <w:pPr>
              <w:jc w:val="center"/>
            </w:pPr>
            <w:r>
              <w:t>hart</w:t>
            </w:r>
          </w:p>
          <w:p w:rsidR="004E78CF" w:rsidRDefault="004E78CF" w:rsidP="004E78CF">
            <w:pPr>
              <w:jc w:val="center"/>
            </w:pPr>
            <w:r>
              <w:t>hart</w:t>
            </w:r>
          </w:p>
          <w:p w:rsidR="00002D43" w:rsidRDefault="00002D43" w:rsidP="004E78CF">
            <w:pPr>
              <w:jc w:val="center"/>
            </w:pPr>
          </w:p>
        </w:tc>
      </w:tr>
    </w:tbl>
    <w:p w:rsidR="00002D43" w:rsidRDefault="00002D43"/>
    <w:p w:rsidR="004E78CF" w:rsidRDefault="004E78CF">
      <w:r>
        <w:t>Der Härtebereich hart umfasst den Bereich von mehr als 2,5 mmol/l (&gt;14,0 °dH).</w:t>
      </w:r>
    </w:p>
    <w:p w:rsidR="004E78CF" w:rsidRDefault="004E78CF"/>
    <w:p w:rsidR="004E78CF" w:rsidRDefault="004E78CF">
      <w:r>
        <w:t>Die Überprüfung der Calciumcarbonat-Sättigung (Versuche nach Axt und Heyer) sowie die Berechnungen nach DIN 38 404, Teil 10, ergaben folgende Sättigungsindices:</w:t>
      </w:r>
    </w:p>
    <w:p w:rsidR="004E78CF" w:rsidRDefault="004E78CF"/>
    <w:tbl>
      <w:tblPr>
        <w:tblStyle w:val="Tabellenraster"/>
        <w:tblW w:w="0" w:type="auto"/>
        <w:tblLook w:val="04A0" w:firstRow="1" w:lastRow="0" w:firstColumn="1" w:lastColumn="0" w:noHBand="0" w:noVBand="1"/>
      </w:tblPr>
      <w:tblGrid>
        <w:gridCol w:w="4606"/>
        <w:gridCol w:w="4606"/>
      </w:tblGrid>
      <w:tr w:rsidR="004E78CF" w:rsidTr="004E78CF">
        <w:tc>
          <w:tcPr>
            <w:tcW w:w="4606" w:type="dxa"/>
          </w:tcPr>
          <w:p w:rsidR="004E78CF" w:rsidRDefault="004E78CF" w:rsidP="004E78CF">
            <w:pPr>
              <w:jc w:val="center"/>
            </w:pPr>
            <w:r>
              <w:t>Entnahmestelle</w:t>
            </w:r>
          </w:p>
        </w:tc>
        <w:tc>
          <w:tcPr>
            <w:tcW w:w="4606" w:type="dxa"/>
          </w:tcPr>
          <w:p w:rsidR="004E78CF" w:rsidRDefault="004E78CF" w:rsidP="004E78CF">
            <w:pPr>
              <w:jc w:val="center"/>
            </w:pPr>
            <w:r>
              <w:t>Sättigungsindex</w:t>
            </w:r>
          </w:p>
        </w:tc>
      </w:tr>
      <w:tr w:rsidR="004E78CF" w:rsidTr="004E78CF">
        <w:tc>
          <w:tcPr>
            <w:tcW w:w="4606" w:type="dxa"/>
          </w:tcPr>
          <w:p w:rsidR="004E78CF" w:rsidRDefault="004E78CF" w:rsidP="004E78CF">
            <w:pPr>
              <w:jc w:val="center"/>
            </w:pPr>
            <w:r>
              <w:t>HB Duchtlingen</w:t>
            </w:r>
          </w:p>
          <w:p w:rsidR="004E78CF" w:rsidRDefault="004E78CF" w:rsidP="004E78CF">
            <w:pPr>
              <w:jc w:val="center"/>
            </w:pPr>
            <w:r>
              <w:t>HB Binningen / HZ</w:t>
            </w:r>
          </w:p>
          <w:p w:rsidR="004E78CF" w:rsidRDefault="004E78CF" w:rsidP="004E78CF">
            <w:pPr>
              <w:jc w:val="center"/>
            </w:pPr>
            <w:r>
              <w:t>HB Binningen / NZ</w:t>
            </w:r>
          </w:p>
          <w:p w:rsidR="004E78CF" w:rsidRDefault="004E78CF" w:rsidP="004E78CF">
            <w:pPr>
              <w:jc w:val="center"/>
            </w:pPr>
            <w:r>
              <w:t>HB Schlatt</w:t>
            </w:r>
          </w:p>
          <w:p w:rsidR="004E78CF" w:rsidRDefault="004E78CF" w:rsidP="004E78CF">
            <w:pPr>
              <w:jc w:val="center"/>
            </w:pPr>
            <w:r>
              <w:t>HB Homboll</w:t>
            </w:r>
          </w:p>
        </w:tc>
        <w:tc>
          <w:tcPr>
            <w:tcW w:w="4606" w:type="dxa"/>
          </w:tcPr>
          <w:p w:rsidR="004E78CF" w:rsidRDefault="004E78CF" w:rsidP="004E78CF">
            <w:pPr>
              <w:jc w:val="center"/>
            </w:pPr>
            <w:r>
              <w:t>+0,39</w:t>
            </w:r>
          </w:p>
          <w:p w:rsidR="004E78CF" w:rsidRDefault="004E78CF" w:rsidP="004E78CF">
            <w:pPr>
              <w:jc w:val="center"/>
            </w:pPr>
            <w:r>
              <w:t>+0,21</w:t>
            </w:r>
          </w:p>
          <w:p w:rsidR="004E78CF" w:rsidRDefault="004E78CF" w:rsidP="004E78CF">
            <w:pPr>
              <w:jc w:val="center"/>
            </w:pPr>
            <w:r>
              <w:t>+0,24</w:t>
            </w:r>
          </w:p>
          <w:p w:rsidR="004E78CF" w:rsidRDefault="004E78CF" w:rsidP="004E78CF">
            <w:pPr>
              <w:jc w:val="center"/>
            </w:pPr>
            <w:r>
              <w:t>+0,43</w:t>
            </w:r>
          </w:p>
          <w:p w:rsidR="004E78CF" w:rsidRDefault="004E78CF" w:rsidP="004E78CF">
            <w:pPr>
              <w:jc w:val="center"/>
            </w:pPr>
            <w:r>
              <w:t>+0,19</w:t>
            </w:r>
          </w:p>
        </w:tc>
      </w:tr>
    </w:tbl>
    <w:p w:rsidR="004E78CF" w:rsidRDefault="004E78CF"/>
    <w:p w:rsidR="004E78CF" w:rsidRDefault="004E78CF">
      <w:r>
        <w:t xml:space="preserve">Die Überprüfung der Calciumcarbonat-Sättigung (Versuche nach Axt und Heyer) sowie die Berechnung nach DIN 38 404, Teil 10 ergaben für die Wasserproben „HB Binningen / HZ“, „HB Binningen / NZ“, und „HB Homboll“ mäßige Kalkabscheidungsvermögen. Der sog. „Schwellenwert“ von +0,30 wird dabei unterschritten, was in korrosios-chemischer Hinsicht </w:t>
      </w:r>
      <w:r w:rsidR="002823A7">
        <w:t>als günstig zu beurteilen ist. Erst ab dem Schwellenwert von +0,30 muss mit verstärkten Inkrustationen im Leitungsnetz gerechnet werden. Dieser Schwellenwert wird bei den Wasserproben „HB Duchtlingen“ und „HB Schlatt“ überschritten. In korrosions-chemischer Hinsicht ist das Wasser daher als ungünstig zu beurteilen da es ab einem Sättigungsindex von etwa größer +0,30 unter Umständen zu vermehrten Inkrustationen in Wasserleistungsrohren und damit zu lockeren Deckschichten kommen kann. Zur Vermeidung wasserseitig bedingter Korrosionsvorgänge sollte daher im Transportsystem darauf geachtet werden, dass keine weitere Kohlensäure ausgasen kann.</w:t>
      </w:r>
    </w:p>
    <w:p w:rsidR="002823A7" w:rsidRDefault="002823A7"/>
    <w:p w:rsidR="002823A7" w:rsidRDefault="002823A7">
      <w:r>
        <w:t>Die Sauerstoffkonzentrationen der Hochbehälter liegen mit Werten zwischen 7,2 mg/l bzw. 10,6 mg/l in günstigen Bereichen über dem aus korrosions-chemischer Hinsicht geforderten Mindestgeh</w:t>
      </w:r>
      <w:r w:rsidR="00842FFD">
        <w:t>a</w:t>
      </w:r>
      <w:r>
        <w:t>lt von 3 mg/l.</w:t>
      </w:r>
    </w:p>
    <w:p w:rsidR="002823A7" w:rsidRDefault="002823A7"/>
    <w:p w:rsidR="002823A7" w:rsidRDefault="002823A7">
      <w:r>
        <w:t xml:space="preserve">Die Werte für die Oxidierbarkeit, welche als Maß für die organische Belastung eines Wassers gilt, liegt im Bereich von 0,3 mg/l bis 0,7 mg/l so dass der Grenzwert </w:t>
      </w:r>
      <w:r w:rsidR="008A532F">
        <w:t xml:space="preserve">von 5,0 mg/l (§ 7 TrinkwV vom 21.05.2001) jeweils bei weitem unterschritten wird. </w:t>
      </w:r>
    </w:p>
    <w:p w:rsidR="008A532F" w:rsidRDefault="008A532F"/>
    <w:p w:rsidR="008A532F" w:rsidRDefault="008A532F">
      <w:r>
        <w:t>Mangan und Eisen konnte nicht bzw. in einer Konzentration unter dem Grenzwert nachgewiesen werden.</w:t>
      </w:r>
    </w:p>
    <w:p w:rsidR="008A532F" w:rsidRDefault="008A532F"/>
    <w:p w:rsidR="008A532F" w:rsidRDefault="008A532F">
      <w:r>
        <w:t xml:space="preserve">In hygienisch-chemischer Hinsicht sind alle Proben aus den Hochbehältern einwandfrei, da die hierfür relevanten Parameter Ammonium, Nitrit und Phosphat nicht bzw. nur in vernachlässigbaren </w:t>
      </w:r>
      <w:r>
        <w:lastRenderedPageBreak/>
        <w:t xml:space="preserve">Konzentrationen festgestellt werden konnten. Die entsprechenden Grenzwerte werden jeweils eingehalten. </w:t>
      </w:r>
    </w:p>
    <w:p w:rsidR="008A532F" w:rsidRDefault="008A532F"/>
    <w:p w:rsidR="008A532F" w:rsidRDefault="008A532F">
      <w:r>
        <w:t>Die Nitratgehalt</w:t>
      </w:r>
      <w:r w:rsidR="00842FFD">
        <w:t>e</w:t>
      </w:r>
      <w:r>
        <w:t xml:space="preserve"> liegen mit 37,0 mg/l bzw</w:t>
      </w:r>
      <w:r w:rsidR="00842FFD">
        <w:t>.</w:t>
      </w:r>
      <w:r>
        <w:t xml:space="preserve"> 27,0 mg/l bzw</w:t>
      </w:r>
      <w:r w:rsidR="00842FFD">
        <w:t>.</w:t>
      </w:r>
      <w:r>
        <w:t xml:space="preserve"> 4,4 mg/l bzw</w:t>
      </w:r>
      <w:r w:rsidR="00842FFD">
        <w:t>.</w:t>
      </w:r>
      <w:r>
        <w:t xml:space="preserve"> 17,0 mg/l bzw</w:t>
      </w:r>
      <w:r w:rsidR="00842FFD">
        <w:t>.</w:t>
      </w:r>
      <w:r>
        <w:t xml:space="preserve"> 12,0 mg/l unter dem Grenzwert von 50 mg/l (Trinkwasser-Verordnung vom 21.05.2001). Zudem wird die Summe aus Nitrat (Konzentration geteilt durch 50) und Nitrit (Konzentration geteilt durch 3) von maximal 1 mg/l ebenfalls von allen untersuchten Proben eingehalten.</w:t>
      </w:r>
    </w:p>
    <w:p w:rsidR="008A532F" w:rsidRDefault="008A532F"/>
    <w:p w:rsidR="008A532F" w:rsidRDefault="008A532F">
      <w:r>
        <w:t>Hinsichtlich der Eignung metallischer Werkstoffe bezogen auf die Beeinflussung der Trinkwasserqualität, die gemäß § 21 der TrinkwV 2001 (Informationspflichten der Wasserversorger gegenüber den Verbrauchern) bekannt gegeben werden muss, gilt für Hausinstallationsleitungen nach DIN 50930-6 die folgende Tabelle:</w:t>
      </w:r>
    </w:p>
    <w:p w:rsidR="00842FFD" w:rsidRDefault="00842FFD"/>
    <w:tbl>
      <w:tblPr>
        <w:tblStyle w:val="Tabellenraster"/>
        <w:tblW w:w="0" w:type="auto"/>
        <w:tblLook w:val="04A0" w:firstRow="1" w:lastRow="0" w:firstColumn="1" w:lastColumn="0" w:noHBand="0" w:noVBand="1"/>
      </w:tblPr>
      <w:tblGrid>
        <w:gridCol w:w="1547"/>
        <w:gridCol w:w="1126"/>
        <w:gridCol w:w="1427"/>
        <w:gridCol w:w="1515"/>
        <w:gridCol w:w="1237"/>
        <w:gridCol w:w="1259"/>
        <w:gridCol w:w="1177"/>
      </w:tblGrid>
      <w:tr w:rsidR="007B5667" w:rsidTr="00DF46AA">
        <w:tc>
          <w:tcPr>
            <w:tcW w:w="1316" w:type="dxa"/>
          </w:tcPr>
          <w:p w:rsidR="00DF46AA" w:rsidRDefault="00DF46AA" w:rsidP="00DF46AA">
            <w:pPr>
              <w:jc w:val="center"/>
            </w:pPr>
            <w:r>
              <w:t>Werkstoff</w:t>
            </w:r>
          </w:p>
        </w:tc>
        <w:tc>
          <w:tcPr>
            <w:tcW w:w="1316" w:type="dxa"/>
          </w:tcPr>
          <w:p w:rsidR="00DF46AA" w:rsidRDefault="00DF46AA" w:rsidP="00DF46AA">
            <w:pPr>
              <w:jc w:val="center"/>
            </w:pPr>
            <w:r>
              <w:t>pH-Wert</w:t>
            </w:r>
          </w:p>
        </w:tc>
        <w:tc>
          <w:tcPr>
            <w:tcW w:w="1316" w:type="dxa"/>
          </w:tcPr>
          <w:p w:rsidR="00DF46AA" w:rsidRDefault="00DF46AA" w:rsidP="00DF46AA">
            <w:pPr>
              <w:jc w:val="center"/>
            </w:pPr>
            <w:r>
              <w:t>Basekapazität bis pH 8, (mmol/L)</w:t>
            </w:r>
          </w:p>
        </w:tc>
        <w:tc>
          <w:tcPr>
            <w:tcW w:w="1316" w:type="dxa"/>
          </w:tcPr>
          <w:p w:rsidR="00DF46AA" w:rsidRDefault="00DF46AA" w:rsidP="00DF46AA">
            <w:pPr>
              <w:jc w:val="center"/>
            </w:pPr>
            <w:r>
              <w:t>Säurekapazität bis pH 4,3 (mmol/L)</w:t>
            </w:r>
          </w:p>
        </w:tc>
        <w:tc>
          <w:tcPr>
            <w:tcW w:w="1316" w:type="dxa"/>
          </w:tcPr>
          <w:p w:rsidR="00DF46AA" w:rsidRDefault="00DF46AA" w:rsidP="00DF46AA">
            <w:pPr>
              <w:jc w:val="center"/>
            </w:pPr>
            <w:r>
              <w:t>Calcium (mmol/L)</w:t>
            </w:r>
          </w:p>
        </w:tc>
        <w:tc>
          <w:tcPr>
            <w:tcW w:w="1316" w:type="dxa"/>
          </w:tcPr>
          <w:p w:rsidR="00DF46AA" w:rsidRDefault="00DF46AA" w:rsidP="00DF46AA">
            <w:pPr>
              <w:jc w:val="center"/>
            </w:pPr>
            <w:r>
              <w:t>Sauerstoff (mg/L)</w:t>
            </w:r>
          </w:p>
        </w:tc>
        <w:tc>
          <w:tcPr>
            <w:tcW w:w="1316" w:type="dxa"/>
          </w:tcPr>
          <w:p w:rsidR="00DF46AA" w:rsidRDefault="00DF46AA" w:rsidP="00DF46AA">
            <w:pPr>
              <w:jc w:val="center"/>
            </w:pPr>
            <w:r>
              <w:t>TOC (mg/L)</w:t>
            </w:r>
          </w:p>
        </w:tc>
      </w:tr>
      <w:tr w:rsidR="007B5667" w:rsidTr="00DF46AA">
        <w:tc>
          <w:tcPr>
            <w:tcW w:w="1316" w:type="dxa"/>
          </w:tcPr>
          <w:p w:rsidR="00DF46AA" w:rsidRDefault="009B3248" w:rsidP="007B5667">
            <w:pPr>
              <w:jc w:val="center"/>
            </w:pPr>
            <w:r>
              <w:t>unlegi</w:t>
            </w:r>
            <w:r w:rsidR="00DF46AA">
              <w:t>erter, niedriglegierter Stahl</w:t>
            </w:r>
          </w:p>
        </w:tc>
        <w:tc>
          <w:tcPr>
            <w:tcW w:w="1316" w:type="dxa"/>
          </w:tcPr>
          <w:p w:rsidR="00DF46AA" w:rsidRDefault="007B5667" w:rsidP="007B5667">
            <w:pPr>
              <w:jc w:val="center"/>
            </w:pPr>
            <w:r w:rsidRPr="007B5667">
              <w:t>≥</w:t>
            </w:r>
            <w:r>
              <w:t xml:space="preserve"> </w:t>
            </w:r>
            <w:r w:rsidR="00903E79">
              <w:t>7</w:t>
            </w:r>
          </w:p>
        </w:tc>
        <w:tc>
          <w:tcPr>
            <w:tcW w:w="1316" w:type="dxa"/>
          </w:tcPr>
          <w:p w:rsidR="00DF46AA" w:rsidRDefault="00DF46AA" w:rsidP="007B5667">
            <w:pPr>
              <w:jc w:val="center"/>
            </w:pPr>
          </w:p>
        </w:tc>
        <w:tc>
          <w:tcPr>
            <w:tcW w:w="1316" w:type="dxa"/>
          </w:tcPr>
          <w:p w:rsidR="00DF46AA" w:rsidRDefault="007B5667" w:rsidP="007B5667">
            <w:pPr>
              <w:jc w:val="center"/>
            </w:pPr>
            <w:r w:rsidRPr="007B5667">
              <w:t>≥</w:t>
            </w:r>
            <w:r>
              <w:t xml:space="preserve"> </w:t>
            </w:r>
            <w:r w:rsidR="00903E79">
              <w:t>2</w:t>
            </w:r>
          </w:p>
        </w:tc>
        <w:tc>
          <w:tcPr>
            <w:tcW w:w="1316" w:type="dxa"/>
          </w:tcPr>
          <w:p w:rsidR="00DF46AA" w:rsidRDefault="007B5667" w:rsidP="007B5667">
            <w:pPr>
              <w:jc w:val="center"/>
            </w:pPr>
            <w:r w:rsidRPr="007B5667">
              <w:t>≥</w:t>
            </w:r>
            <w:r>
              <w:t xml:space="preserve"> </w:t>
            </w:r>
            <w:r w:rsidR="00903E79">
              <w:t xml:space="preserve">0,5 oder </w:t>
            </w:r>
            <w:r w:rsidRPr="007B5667">
              <w:t>≥</w:t>
            </w:r>
            <w:r>
              <w:t xml:space="preserve"> </w:t>
            </w:r>
            <w:r w:rsidR="00903E79">
              <w:t>20 mg/L</w:t>
            </w:r>
          </w:p>
        </w:tc>
        <w:tc>
          <w:tcPr>
            <w:tcW w:w="1316" w:type="dxa"/>
          </w:tcPr>
          <w:p w:rsidR="00DF46AA" w:rsidRDefault="007B5667" w:rsidP="007B5667">
            <w:pPr>
              <w:jc w:val="center"/>
            </w:pPr>
            <w:r w:rsidRPr="007B5667">
              <w:t>≥</w:t>
            </w:r>
            <w:r>
              <w:t xml:space="preserve"> </w:t>
            </w:r>
            <w:r w:rsidR="00903E79">
              <w:t>3</w:t>
            </w:r>
          </w:p>
        </w:tc>
        <w:tc>
          <w:tcPr>
            <w:tcW w:w="1316" w:type="dxa"/>
          </w:tcPr>
          <w:p w:rsidR="00DF46AA" w:rsidRDefault="00DF46AA" w:rsidP="007B5667">
            <w:pPr>
              <w:jc w:val="center"/>
            </w:pPr>
          </w:p>
        </w:tc>
      </w:tr>
      <w:tr w:rsidR="007B5667" w:rsidTr="00DF46AA">
        <w:tc>
          <w:tcPr>
            <w:tcW w:w="1316" w:type="dxa"/>
          </w:tcPr>
          <w:p w:rsidR="00DF46AA" w:rsidRDefault="00DF46AA" w:rsidP="007B5667">
            <w:pPr>
              <w:jc w:val="center"/>
            </w:pPr>
            <w:r>
              <w:t>feuerverzinkter Stahl</w:t>
            </w:r>
          </w:p>
        </w:tc>
        <w:tc>
          <w:tcPr>
            <w:tcW w:w="1316" w:type="dxa"/>
          </w:tcPr>
          <w:p w:rsidR="00DF46AA" w:rsidRDefault="00DF46AA" w:rsidP="007B5667">
            <w:pPr>
              <w:jc w:val="center"/>
            </w:pPr>
          </w:p>
        </w:tc>
        <w:tc>
          <w:tcPr>
            <w:tcW w:w="1316" w:type="dxa"/>
          </w:tcPr>
          <w:p w:rsidR="00DF46AA" w:rsidRDefault="007B5667" w:rsidP="007B5667">
            <w:pPr>
              <w:jc w:val="center"/>
            </w:pPr>
            <w:r w:rsidRPr="007B5667">
              <w:t>≤</w:t>
            </w:r>
            <w:r>
              <w:t xml:space="preserve"> </w:t>
            </w:r>
            <w:r w:rsidR="00903E79">
              <w:t>0,5</w:t>
            </w:r>
          </w:p>
        </w:tc>
        <w:tc>
          <w:tcPr>
            <w:tcW w:w="1316" w:type="dxa"/>
          </w:tcPr>
          <w:p w:rsidR="00DF46AA" w:rsidRDefault="007B5667" w:rsidP="007B5667">
            <w:pPr>
              <w:jc w:val="center"/>
            </w:pPr>
            <w:r w:rsidRPr="007B5667">
              <w:t>≥</w:t>
            </w:r>
            <w:r>
              <w:t xml:space="preserve"> </w:t>
            </w:r>
            <w:r w:rsidR="00903E79">
              <w:t>1</w:t>
            </w:r>
          </w:p>
        </w:tc>
        <w:tc>
          <w:tcPr>
            <w:tcW w:w="1316" w:type="dxa"/>
          </w:tcPr>
          <w:p w:rsidR="00DF46AA" w:rsidRDefault="00DF46AA" w:rsidP="007B5667">
            <w:pPr>
              <w:jc w:val="center"/>
            </w:pPr>
          </w:p>
        </w:tc>
        <w:tc>
          <w:tcPr>
            <w:tcW w:w="1316" w:type="dxa"/>
          </w:tcPr>
          <w:p w:rsidR="00DF46AA" w:rsidRDefault="00DF46AA" w:rsidP="007B5667">
            <w:pPr>
              <w:jc w:val="center"/>
            </w:pPr>
          </w:p>
        </w:tc>
        <w:tc>
          <w:tcPr>
            <w:tcW w:w="1316" w:type="dxa"/>
          </w:tcPr>
          <w:p w:rsidR="00DF46AA" w:rsidRDefault="00DF46AA" w:rsidP="007B5667">
            <w:pPr>
              <w:jc w:val="center"/>
            </w:pPr>
          </w:p>
        </w:tc>
      </w:tr>
      <w:tr w:rsidR="007B5667" w:rsidTr="00903E79">
        <w:tc>
          <w:tcPr>
            <w:tcW w:w="1316" w:type="dxa"/>
          </w:tcPr>
          <w:p w:rsidR="00DF46AA" w:rsidRDefault="00DF46AA" w:rsidP="007B5667">
            <w:pPr>
              <w:jc w:val="center"/>
            </w:pPr>
            <w:r>
              <w:t>nichtrostender Stahl</w:t>
            </w:r>
          </w:p>
        </w:tc>
        <w:tc>
          <w:tcPr>
            <w:tcW w:w="1316" w:type="dxa"/>
            <w:tcBorders>
              <w:bottom w:val="single" w:sz="4" w:space="0" w:color="auto"/>
            </w:tcBorders>
          </w:tcPr>
          <w:p w:rsidR="00DF46AA" w:rsidRDefault="00903E79" w:rsidP="007B5667">
            <w:pPr>
              <w:jc w:val="center"/>
            </w:pPr>
            <w:r>
              <w:t>6,5- 9,5</w:t>
            </w:r>
          </w:p>
        </w:tc>
        <w:tc>
          <w:tcPr>
            <w:tcW w:w="1316" w:type="dxa"/>
            <w:tcBorders>
              <w:bottom w:val="single" w:sz="4" w:space="0" w:color="auto"/>
            </w:tcBorders>
          </w:tcPr>
          <w:p w:rsidR="00DF46AA" w:rsidRDefault="00DF46AA" w:rsidP="007B5667">
            <w:pPr>
              <w:jc w:val="center"/>
            </w:pPr>
          </w:p>
        </w:tc>
        <w:tc>
          <w:tcPr>
            <w:tcW w:w="1316" w:type="dxa"/>
            <w:tcBorders>
              <w:bottom w:val="single" w:sz="4" w:space="0" w:color="auto"/>
            </w:tcBorders>
          </w:tcPr>
          <w:p w:rsidR="00DF46AA" w:rsidRDefault="00DF46AA" w:rsidP="007B5667">
            <w:pPr>
              <w:jc w:val="center"/>
            </w:pPr>
          </w:p>
        </w:tc>
        <w:tc>
          <w:tcPr>
            <w:tcW w:w="1316" w:type="dxa"/>
            <w:tcBorders>
              <w:bottom w:val="single" w:sz="4" w:space="0" w:color="auto"/>
            </w:tcBorders>
          </w:tcPr>
          <w:p w:rsidR="00DF46AA" w:rsidRDefault="00DF46AA" w:rsidP="007B5667">
            <w:pPr>
              <w:jc w:val="center"/>
            </w:pPr>
          </w:p>
        </w:tc>
        <w:tc>
          <w:tcPr>
            <w:tcW w:w="1316" w:type="dxa"/>
            <w:tcBorders>
              <w:bottom w:val="single" w:sz="4" w:space="0" w:color="auto"/>
            </w:tcBorders>
          </w:tcPr>
          <w:p w:rsidR="00DF46AA" w:rsidRDefault="00DF46AA" w:rsidP="007B5667">
            <w:pPr>
              <w:jc w:val="center"/>
            </w:pPr>
          </w:p>
        </w:tc>
        <w:tc>
          <w:tcPr>
            <w:tcW w:w="1316" w:type="dxa"/>
            <w:tcBorders>
              <w:bottom w:val="single" w:sz="4" w:space="0" w:color="auto"/>
            </w:tcBorders>
          </w:tcPr>
          <w:p w:rsidR="00DF46AA" w:rsidRDefault="00DF46AA" w:rsidP="007B5667">
            <w:pPr>
              <w:jc w:val="center"/>
            </w:pPr>
          </w:p>
        </w:tc>
      </w:tr>
      <w:tr w:rsidR="007B5667" w:rsidTr="00DF46AA">
        <w:tc>
          <w:tcPr>
            <w:tcW w:w="1316" w:type="dxa"/>
          </w:tcPr>
          <w:p w:rsidR="00DF46AA" w:rsidRDefault="00DF46AA" w:rsidP="007B5667">
            <w:pPr>
              <w:jc w:val="center"/>
            </w:pPr>
            <w:r>
              <w:t>Kupfer</w:t>
            </w:r>
          </w:p>
        </w:tc>
        <w:tc>
          <w:tcPr>
            <w:tcW w:w="1316" w:type="dxa"/>
          </w:tcPr>
          <w:p w:rsidR="00DF46AA" w:rsidRDefault="00903E79" w:rsidP="007B5667">
            <w:pPr>
              <w:jc w:val="center"/>
            </w:pPr>
            <w:r>
              <w:t>7,0- 7,4</w:t>
            </w:r>
          </w:p>
          <w:p w:rsidR="00903E79" w:rsidRPr="00903E79" w:rsidRDefault="00903E79" w:rsidP="007B5667">
            <w:pPr>
              <w:jc w:val="center"/>
            </w:pPr>
            <w:r w:rsidRPr="00903E79">
              <w:rPr>
                <w:noProof/>
                <w:lang w:eastAsia="de-DE"/>
              </w:rPr>
              <mc:AlternateContent>
                <mc:Choice Requires="wps">
                  <w:drawing>
                    <wp:anchor distT="0" distB="0" distL="114300" distR="114300" simplePos="0" relativeHeight="251659264" behindDoc="0" locked="0" layoutInCell="1" allowOverlap="1" wp14:anchorId="67DE122B" wp14:editId="4D6BF514">
                      <wp:simplePos x="0" y="0"/>
                      <wp:positionH relativeFrom="column">
                        <wp:posOffset>-68580</wp:posOffset>
                      </wp:positionH>
                      <wp:positionV relativeFrom="paragraph">
                        <wp:posOffset>68580</wp:posOffset>
                      </wp:positionV>
                      <wp:extent cx="4914900" cy="15240"/>
                      <wp:effectExtent l="0" t="0" r="19050" b="22860"/>
                      <wp:wrapNone/>
                      <wp:docPr id="2" name="Gerade Verbindung 2"/>
                      <wp:cNvGraphicFramePr/>
                      <a:graphic xmlns:a="http://schemas.openxmlformats.org/drawingml/2006/main">
                        <a:graphicData uri="http://schemas.microsoft.com/office/word/2010/wordprocessingShape">
                          <wps:wsp>
                            <wps:cNvCnPr/>
                            <wps:spPr>
                              <a:xfrm flipV="1">
                                <a:off x="0" y="0"/>
                                <a:ext cx="4914900" cy="1524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Gerade Verbindung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5.4pt,5.4pt" to="381.6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" strokecolor="black [3213]"/>
                  </w:pict>
                </mc:Fallback>
              </mc:AlternateContent>
            </w:r>
          </w:p>
          <w:p w:rsidR="00903E79" w:rsidRDefault="007B5667" w:rsidP="007B5667">
            <w:pPr>
              <w:jc w:val="center"/>
            </w:pPr>
            <w:r>
              <w:t xml:space="preserve">&gt; </w:t>
            </w:r>
            <w:r w:rsidR="00903E79">
              <w:t>7,4</w:t>
            </w:r>
          </w:p>
        </w:tc>
        <w:tc>
          <w:tcPr>
            <w:tcW w:w="1316" w:type="dxa"/>
          </w:tcPr>
          <w:p w:rsidR="00DF46AA" w:rsidRPr="00903E79" w:rsidRDefault="00DF46AA" w:rsidP="007B5667">
            <w:pPr>
              <w:jc w:val="center"/>
            </w:pPr>
          </w:p>
        </w:tc>
        <w:tc>
          <w:tcPr>
            <w:tcW w:w="1316" w:type="dxa"/>
          </w:tcPr>
          <w:p w:rsidR="00DF46AA" w:rsidRPr="00903E79" w:rsidRDefault="00DF46AA" w:rsidP="007B5667">
            <w:pPr>
              <w:jc w:val="center"/>
            </w:pPr>
          </w:p>
        </w:tc>
        <w:tc>
          <w:tcPr>
            <w:tcW w:w="1316" w:type="dxa"/>
          </w:tcPr>
          <w:p w:rsidR="00DF46AA" w:rsidRDefault="00DF46AA" w:rsidP="007B5667">
            <w:pPr>
              <w:jc w:val="center"/>
            </w:pPr>
          </w:p>
        </w:tc>
        <w:tc>
          <w:tcPr>
            <w:tcW w:w="1316" w:type="dxa"/>
          </w:tcPr>
          <w:p w:rsidR="00DF46AA" w:rsidRDefault="00DF46AA" w:rsidP="007B5667">
            <w:pPr>
              <w:jc w:val="center"/>
            </w:pPr>
          </w:p>
        </w:tc>
        <w:tc>
          <w:tcPr>
            <w:tcW w:w="1316" w:type="dxa"/>
          </w:tcPr>
          <w:p w:rsidR="00DF46AA" w:rsidRDefault="007B5667" w:rsidP="007B5667">
            <w:pPr>
              <w:jc w:val="center"/>
            </w:pPr>
            <w:r w:rsidRPr="007B5667">
              <w:t>≤</w:t>
            </w:r>
            <w:r>
              <w:t xml:space="preserve"> </w:t>
            </w:r>
            <w:r w:rsidR="00903E79">
              <w:t>1,5</w:t>
            </w:r>
          </w:p>
        </w:tc>
      </w:tr>
      <w:tr w:rsidR="007B5667" w:rsidTr="00DF46AA">
        <w:tc>
          <w:tcPr>
            <w:tcW w:w="1316" w:type="dxa"/>
          </w:tcPr>
          <w:p w:rsidR="00DF46AA" w:rsidRDefault="00DF46AA" w:rsidP="007B5667">
            <w:pPr>
              <w:jc w:val="center"/>
            </w:pPr>
            <w:r>
              <w:t>verzinntes Kupfer</w:t>
            </w:r>
          </w:p>
        </w:tc>
        <w:tc>
          <w:tcPr>
            <w:tcW w:w="1316" w:type="dxa"/>
          </w:tcPr>
          <w:p w:rsidR="00DF46AA" w:rsidRDefault="00903E79" w:rsidP="007B5667">
            <w:pPr>
              <w:jc w:val="center"/>
            </w:pPr>
            <w:r>
              <w:t>6,5- 9,5</w:t>
            </w:r>
          </w:p>
        </w:tc>
        <w:tc>
          <w:tcPr>
            <w:tcW w:w="1316" w:type="dxa"/>
          </w:tcPr>
          <w:p w:rsidR="00DF46AA" w:rsidRDefault="00DF46AA" w:rsidP="007B5667">
            <w:pPr>
              <w:jc w:val="center"/>
            </w:pPr>
          </w:p>
        </w:tc>
        <w:tc>
          <w:tcPr>
            <w:tcW w:w="1316" w:type="dxa"/>
          </w:tcPr>
          <w:p w:rsidR="00DF46AA" w:rsidRDefault="00DF46AA" w:rsidP="007B5667">
            <w:pPr>
              <w:jc w:val="center"/>
            </w:pPr>
          </w:p>
        </w:tc>
        <w:tc>
          <w:tcPr>
            <w:tcW w:w="1316" w:type="dxa"/>
          </w:tcPr>
          <w:p w:rsidR="00DF46AA" w:rsidRDefault="00DF46AA" w:rsidP="007B5667">
            <w:pPr>
              <w:jc w:val="center"/>
            </w:pPr>
          </w:p>
        </w:tc>
        <w:tc>
          <w:tcPr>
            <w:tcW w:w="1316" w:type="dxa"/>
          </w:tcPr>
          <w:p w:rsidR="00DF46AA" w:rsidRDefault="00DF46AA" w:rsidP="007B5667">
            <w:pPr>
              <w:jc w:val="center"/>
            </w:pPr>
          </w:p>
        </w:tc>
        <w:tc>
          <w:tcPr>
            <w:tcW w:w="1316" w:type="dxa"/>
          </w:tcPr>
          <w:p w:rsidR="00DF46AA" w:rsidRDefault="00DF46AA" w:rsidP="007B5667">
            <w:pPr>
              <w:jc w:val="center"/>
            </w:pPr>
          </w:p>
        </w:tc>
      </w:tr>
    </w:tbl>
    <w:p w:rsidR="008A532F" w:rsidRDefault="008A532F" w:rsidP="007B5667">
      <w:pPr>
        <w:jc w:val="center"/>
      </w:pPr>
    </w:p>
    <w:p w:rsidR="009B3248" w:rsidRDefault="00903E79">
      <w:r>
        <w:t>Bei V</w:t>
      </w:r>
      <w:r w:rsidR="009B3248">
        <w:t>erwendung von metallischen Werkstoffen fü</w:t>
      </w:r>
      <w:r>
        <w:t>r</w:t>
      </w:r>
      <w:r w:rsidR="009B3248">
        <w:t xml:space="preserve"> die Hausinstallationsrohre hinsichtlich der Veränderung der Trinkwasserbeschaffenheit gilt für die Wasserproben „HB Binningen HZ“, „HB Binningen NZ“ und „HB Homboll“ folgendes: </w:t>
      </w:r>
    </w:p>
    <w:p w:rsidR="009B3248" w:rsidRDefault="009B3248">
      <w:r>
        <w:t>-unlegierter, niedriglegierter Stahl, nichtrostender Stahl</w:t>
      </w:r>
      <w:r w:rsidR="00842FFD">
        <w:t>,</w:t>
      </w:r>
      <w:r>
        <w:t xml:space="preserve"> Kupfer und verzinntes Kupfer sind geeignet</w:t>
      </w:r>
    </w:p>
    <w:p w:rsidR="009B3248" w:rsidRDefault="009B3248">
      <w:r>
        <w:t>-feuerverzinkter Stahl ist nicht geeignet</w:t>
      </w:r>
      <w:r w:rsidR="00842FFD">
        <w:t>.</w:t>
      </w:r>
    </w:p>
    <w:p w:rsidR="009B3248" w:rsidRDefault="009B3248">
      <w:r>
        <w:t xml:space="preserve">Für die Wasserproben „HB Duchtlingen“ und „HB Schlatt a.R.“ sind alle oben genannten Werkstoffe geeignet. </w:t>
      </w:r>
    </w:p>
    <w:p w:rsidR="009B3248" w:rsidRDefault="009B3248"/>
    <w:p w:rsidR="009B3248" w:rsidRDefault="009B3248">
      <w:r>
        <w:t>Korrosionsvorgänge die zu Schäden am Bauteil führen, sind nicht Gegenstand dieser Norm.</w:t>
      </w:r>
    </w:p>
    <w:p w:rsidR="009B3248" w:rsidRDefault="009B3248"/>
    <w:p w:rsidR="009B3248" w:rsidRDefault="009B3248">
      <w:r>
        <w:t xml:space="preserve">Die vorliegende Tabelle nach DIN 50930-6 gilt, wenn keine besondere Prüfung vor Ort stattgefunden hat. In besonderen Ausnahmefällen können gesonderte örtliche Prüfungen erforderlich sein. Hinsichtlich der Dimensionierung, der Betriebsweise und der Qualitätsausführung des Materials und der Arbeiten sind in der Hausinstallation zusätzlich die allgemein anerkannten Regeln der Technik zu beachten, da Korrosionsvorgänge auch bei allgemeiner Eignung der Materialien nie völlig ausgeschlossen können. </w:t>
      </w:r>
    </w:p>
    <w:p w:rsidR="009B3248" w:rsidRDefault="009B3248"/>
    <w:p w:rsidR="009B3248" w:rsidRDefault="009B3248">
      <w:r>
        <w:t xml:space="preserve">Wenn in bestehenden Installationssystemen als Folge ungünstiger Wasserbeschaffenheit und Betriebsbedingungen </w:t>
      </w:r>
      <w:r w:rsidR="00903E79">
        <w:t>oder unsachgemäßer Werkstoffauswahl die gesetzlichen Anforderungen an die Trinkwasserbeschaffenheit nicht einzuhalten sind, kann durch Schutzmaßnahmen einer Veränderung der Trinkwasserbeschaffenheit entgegengewirkt werden. Der Nachweis der Wirksamkeit erfolgt nach DIN 50934-1 und DIN 50934-2.</w:t>
      </w:r>
    </w:p>
    <w:p w:rsidR="00903E79" w:rsidRDefault="00903E79"/>
    <w:p w:rsidR="00903E79" w:rsidRDefault="00903E79">
      <w:r>
        <w:t xml:space="preserve">Auch alle übrigen im Rahmen der Anlage 1, 2 und 3 TrinkwV durchgeführten Untersuchungen ergaben keine Auffälligkeiten. </w:t>
      </w:r>
    </w:p>
    <w:p w:rsidR="00903E79" w:rsidRDefault="00903E79"/>
    <w:p w:rsidR="00903E79" w:rsidRPr="009B3248" w:rsidRDefault="00903E79">
      <w:r>
        <w:t>Zusammenfassend wird aufgrund der vorliegenden Prüfergebnisse festgestellt, dass die Wasserproben der Gemeinde Hilzingen im Rahmen der durchgeführten Untersuchungen die an Trinkwasser gestellten Anforderungen in vollem Umfang erfüllen.</w:t>
      </w:r>
    </w:p>
    <w:sectPr w:rsidR="00903E79" w:rsidRPr="009B324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2D43"/>
    <w:rsid w:val="00002D43"/>
    <w:rsid w:val="002823A7"/>
    <w:rsid w:val="0044598A"/>
    <w:rsid w:val="004E78CF"/>
    <w:rsid w:val="007B5667"/>
    <w:rsid w:val="00842FFD"/>
    <w:rsid w:val="00890F28"/>
    <w:rsid w:val="008A532F"/>
    <w:rsid w:val="00903E79"/>
    <w:rsid w:val="009B3248"/>
    <w:rsid w:val="00B953D5"/>
    <w:rsid w:val="00BE461F"/>
    <w:rsid w:val="00CA1D8E"/>
    <w:rsid w:val="00D34A7A"/>
    <w:rsid w:val="00DF46A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ahoma" w:eastAsiaTheme="minorHAnsi" w:hAnsi="Tahoma" w:cs="Tahoma"/>
        <w:szCs w:val="22"/>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02D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ahoma" w:eastAsiaTheme="minorHAnsi" w:hAnsi="Tahoma" w:cs="Tahoma"/>
        <w:szCs w:val="22"/>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02D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808</Words>
  <Characters>5096</Characters>
  <Application>Microsoft Office Word</Application>
  <DocSecurity>4</DocSecurity>
  <Lines>42</Lines>
  <Paragraphs>11</Paragraphs>
  <ScaleCrop>false</ScaleCrop>
  <HeadingPairs>
    <vt:vector size="2" baseType="variant">
      <vt:variant>
        <vt:lpstr>Titel</vt:lpstr>
      </vt:variant>
      <vt:variant>
        <vt:i4>1</vt:i4>
      </vt:variant>
    </vt:vector>
  </HeadingPairs>
  <TitlesOfParts>
    <vt:vector size="1" baseType="lpstr">
      <vt:lpstr/>
    </vt:vector>
  </TitlesOfParts>
  <Company>Microsoft</Company>
  <LinksUpToDate>false</LinksUpToDate>
  <CharactersWithSpaces>5893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hil02101</dc:creator>
  <cp:lastModifiedBy>Kerstin Schmitt</cp:lastModifiedBy>
  <cp:revision>2</cp:revision>
  <dcterms:created xsi:type="dcterms:W3CDTF">2019-07-22T11:37:00Z</dcterms:created>
  <dcterms:modified xsi:type="dcterms:W3CDTF">2019-07-22T11:37:00Z</dcterms:modified>
</cp:coreProperties>
</file>